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2">
      <w:pPr>
        <w:spacing w:after="240" w:befor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7">
      <w:pPr>
        <w:spacing w:after="240" w:before="240" w:lineRule="auto"/>
        <w:jc w:val="center"/>
        <w:rPr>
          <w:b w:val="1"/>
          <w:smallCaps w:val="1"/>
        </w:rPr>
      </w:pPr>
      <w:bookmarkStart w:colFirst="0" w:colLast="0" w:name="_heading=h.doi07n3q9eiz" w:id="0"/>
      <w:bookmarkEnd w:id="0"/>
      <w:r w:rsidDel="00000000" w:rsidR="00000000" w:rsidRPr="00000000">
        <w:rPr>
          <w:rtl w:val="0"/>
        </w:rPr>
      </w:r>
    </w:p>
    <w:p w:rsidR="00000000" w:rsidDel="00000000" w:rsidP="00000000" w:rsidRDefault="00000000" w:rsidRPr="00000000" w14:paraId="00000008">
      <w:pPr>
        <w:spacing w:after="240" w:before="240" w:lineRule="auto"/>
        <w:jc w:val="center"/>
        <w:rPr>
          <w:rFonts w:ascii="Calibri" w:cs="Calibri" w:eastAsia="Calibri" w:hAnsi="Calibri"/>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9">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A">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B">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b w:val="1"/>
        </w:rPr>
      </w:pPr>
      <w:r w:rsidDel="00000000" w:rsidR="00000000" w:rsidRPr="00000000">
        <w:rPr>
          <w:b w:val="1"/>
          <w:rtl w:val="0"/>
        </w:rPr>
        <w:t xml:space="preserve">CALL-OFF SCHEDULE 10 </w:t>
      </w:r>
    </w:p>
    <w:p w:rsidR="00000000" w:rsidDel="00000000" w:rsidP="00000000" w:rsidRDefault="00000000" w:rsidRPr="00000000" w14:paraId="00000012">
      <w:pPr>
        <w:jc w:val="center"/>
        <w:rPr>
          <w:b w:val="1"/>
        </w:rPr>
      </w:pPr>
      <w:r w:rsidDel="00000000" w:rsidR="00000000" w:rsidRPr="00000000">
        <w:rPr>
          <w:b w:val="1"/>
          <w:rtl w:val="0"/>
        </w:rPr>
        <w:t xml:space="preserve">EXIT MANAGEMENT</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DURING THE CONTRACT PERIOD TO FACILITATE EXIT</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1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the Contract Period, the Supplier shall promptly: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Registers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TO ASSIST ON RE-TENDERING OF Deliverables</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Exit Information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d34og8"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2s8eyo1" w:id="9"/>
      <w:bookmarkEnd w:id="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EXIT PLAN</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three (3) Months after the Start Date, deliver to the Buyer an Exit Plan which complies with the requirements set out in Paragraph 3.3 of this Schedule and is otherwise reasonably satisfactory to the Buyer.</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3.1, then such Dispute shall be resolved in accordance with the Dispute Resolution Procedure. </w:t>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Plan shall set out, as a minimum:</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3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3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every [six (6) months] throughout the Contract Period; and</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later than [twenty (20) Working Days] after a request from the Buyer for an up-to-date copy of the Exit Plan;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if (by notification to the Supplier in writing) the Buyer agrees with a draft Exit Plan provided by the Supplier under Paragraph 3.2 or 3.4 (as the context requires), shall that draft become the Exit Plan for this Contract.  </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3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Assistance Notice"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nature of the Termination Assistance required; and</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that Termination Assistance is required by the Buyer but at the relevant time the parties are still agreeing an update to the Exit Plan pursuant to Paragraph 3,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3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 PERIOD </w:t>
      </w:r>
    </w:p>
    <w:p w:rsidR="00000000" w:rsidDel="00000000" w:rsidP="00000000" w:rsidRDefault="00000000" w:rsidRPr="00000000" w14:paraId="00000040">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Termination Assistance Period the Supplier shall:</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j2qqm3"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5.3, provide the Deliverables and the Termination Assistance at no detriment to the KPIs, the provision of the Management Information or any other reports nor to any other of the Supplier's obligations under this Contract; </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not possible for the Supplier to reallocate resources to provide such assistance as is referred to in Paragraph 5.1.2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 accordingly.</w:t>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OBLIGATIONS</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xcytpi"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4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vacate any Buyer Premises;</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4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qsh70q"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5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3as4poj" w:id="27"/>
      <w:bookmarkEnd w:id="2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ASSETS, SUBCONTRACTS AND SOFTWARE</w:t>
      </w:r>
    </w:p>
    <w:p w:rsidR="00000000" w:rsidDel="00000000" w:rsidP="00000000" w:rsidRDefault="00000000" w:rsidRPr="00000000" w14:paraId="0000005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pxezwc"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5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9x2ik5"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p2csry"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Assets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o7alnk"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Exclusive Assets that are not Transferable Assets; and </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Non-Exclusive Assets,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3ckvvd"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Contracts"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ihv636"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effect from the expiry of the Termination Assistance Period, the Supplier shall sell the Transferring Assets to the Buyer and/or the Replacement Supplier for the Net Book Value less any amount already paid for them through the Charges, subject to the total figure payable being no less than £0. For the avoidance of doubt, in no circumstances shall the Supplier be required to pay the Buyer and/or Replacement Supplier for transferring the Transferring Assets.</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2hioqz"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hmsyys"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6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1mghml"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grqrue"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7.6 in relation to any matters arising prior to the date of assignment or novation of such Transferring Contract. Clause 19 Core Terms (Other people's rights in this contract) shall not apply to this Paragraph 7.9 which is intended to be enforceable by Third Parties Beneficiaries by virtue of the CRTPA.</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CF&amp;F and CF&amp;E shall be Transferrable Assets. However, the Parties agree that no payment shall be required to be made by the Buyer and/or the Replacement Supplier to the Supplier in respect of the CF&amp;F.</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anything else in the Contract, the Net Book Value of the CF&amp;E shall, throughout the term of this Contract, be calculated by reference to depreciation costs in the Supplier’s Catering Profit &amp; Loss Accounts annually at one fifth (1/5</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the value of the original purchase price of the relevant CF&amp;E. </w:t>
      </w:r>
    </w:p>
    <w:p w:rsidR="00000000" w:rsidDel="00000000" w:rsidP="00000000" w:rsidRDefault="00000000" w:rsidRPr="00000000" w14:paraId="0000006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vx1227" w:id="38"/>
      <w:bookmarkEnd w:id="3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CHARGES </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6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APPORTIONMENTS </w:t>
      </w:r>
    </w:p>
    <w:p w:rsidR="00000000" w:rsidDel="00000000" w:rsidP="00000000" w:rsidRDefault="00000000" w:rsidRPr="00000000" w14:paraId="0000006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fwokq0"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72">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8">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079">
    <w:pPr>
      <w:tabs>
        <w:tab w:val="center" w:leader="none" w:pos="4513"/>
        <w:tab w:val="right" w:leader="none" w:pos="9026"/>
      </w:tabs>
      <w:spacing w:after="0" w:line="240" w:lineRule="auto"/>
      <w:jc w:val="both"/>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b w:val="1"/>
        <w:rtl w:val="0"/>
      </w:rPr>
      <w:t xml:space="preserve">Call</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-Off Schedule 10 (Exit Management)                                                                                   </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MarginText" w:customStyle="1">
    <w:name w:val="Margin Text"/>
    <w:basedOn w:val="Normal"/>
    <w:link w:val="MarginTextChar"/>
    <w:rsid w:val="00D63739"/>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D63739"/>
    <w:rPr>
      <w:rFonts w:ascii="Calibri" w:cs="Times New Roman" w:eastAsia="STZhongsong" w:hAnsi="Calibri"/>
      <w:szCs w:val="18"/>
      <w:lang w:eastAsia="zh-CN"/>
    </w:rPr>
  </w:style>
  <w:style w:type="paragraph" w:styleId="TOC1">
    <w:name w:val="toc 1"/>
    <w:basedOn w:val="Normal"/>
    <w:next w:val="Normal"/>
    <w:autoRedefine w:val="1"/>
    <w:uiPriority w:val="39"/>
    <w:semiHidden w:val="1"/>
    <w:unhideWhenUsed w:val="1"/>
    <w:rsid w:val="0014367B"/>
    <w:pPr>
      <w:spacing w:after="100"/>
    </w:pPr>
  </w:style>
  <w:style w:type="paragraph" w:styleId="TOC4">
    <w:name w:val="toc 4"/>
    <w:basedOn w:val="Normal"/>
    <w:next w:val="Normal"/>
    <w:autoRedefine w:val="1"/>
    <w:uiPriority w:val="39"/>
    <w:semiHidden w:val="1"/>
    <w:unhideWhenUsed w:val="1"/>
    <w:rsid w:val="0014367B"/>
    <w:pPr>
      <w:spacing w:after="100"/>
      <w:ind w:left="66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AiK8XyX45mggrYPSYLfWEtEzpw==">CgMxLjAyDmguZG9pMDduM3E5ZWl6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283YWxuazIJaC4yM2NrdnZkMghoLmlodjYzNjIJaC4zMmhpb3F6MgloLjFobXN5eXMyCWguNDFtZ2htbDIJaC4yZ3JxcnVlMghoLnZ4MTIyNzIJaC4zZndva3EwOAByITFPcXNKMHczQ0U2Mi1BN3o3N1J2R3JuWHpCSVNyQ29H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2022-09-21T19:32:00Z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